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OLE_LINK5"/>
      <w:bookmarkStart w:id="1" w:name="OLE_LINK6"/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3GPP TSG-RAN WG4 Meeting #94</w:t>
      </w:r>
      <w:r>
        <w:rPr>
          <w:rFonts w:hint="eastAsia" w:ascii="Arial" w:hAnsi="Arial" w:cs="Times New Roman"/>
          <w:b/>
          <w:bCs/>
          <w:sz w:val="24"/>
          <w:szCs w:val="24"/>
          <w:lang w:val="en-US" w:eastAsia="zh-CN"/>
        </w:rPr>
        <w:t>-e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R4-200004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8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hint="eastAsia" w:ascii="Arial" w:hAnsi="Arial" w:cs="Times New Roman"/>
          <w:b/>
          <w:bCs/>
          <w:sz w:val="24"/>
          <w:szCs w:val="24"/>
          <w:lang w:val="en-US" w:eastAsia="zh-CN"/>
        </w:rPr>
        <w:t>Online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, 24 February</w:t>
      </w:r>
      <w:r>
        <w:rPr>
          <w:rFonts w:hint="eastAsia" w:ascii="Arial" w:hAnsi="Arial" w:cs="Times New Roman"/>
          <w:b/>
          <w:bCs/>
          <w:sz w:val="24"/>
          <w:szCs w:val="24"/>
          <w:lang w:val="en-US" w:eastAsia="zh-CN"/>
        </w:rPr>
        <w:t xml:space="preserve"> - 6 March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, 2020</w:t>
      </w:r>
    </w:p>
    <w:bookmarkEnd w:id="0"/>
    <w:bookmarkEnd w:id="1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ascii="Arial" w:hAnsi="Arial" w:eastAsia="Calibri" w:cs="Arial"/>
          <w:b/>
          <w:bCs/>
          <w:sz w:val="24"/>
          <w:lang w:val="en-GB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</w:p>
    <w:p>
      <w:pPr>
        <w:ind w:left="1985" w:hanging="1985"/>
        <w:jc w:val="both"/>
        <w:rPr>
          <w:rFonts w:ascii="Arial" w:hAnsi="Arial" w:eastAsia="Calibri" w:cs="Arial"/>
          <w:b/>
          <w:bCs/>
          <w:sz w:val="24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bookmarkStart w:id="2" w:name="_Hlk7778829"/>
      <w:r>
        <w:rPr>
          <w:rFonts w:hint="eastAsia" w:ascii="Arial" w:hAnsi="Arial" w:eastAsia="Calibri" w:cs="Arial"/>
          <w:b/>
          <w:bCs/>
          <w:sz w:val="24"/>
          <w:lang w:val="en-GB"/>
        </w:rPr>
        <w:t>Discussion on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 xml:space="preserve"> UE behavior in</w:t>
      </w:r>
      <w:r>
        <w:rPr>
          <w:rFonts w:hint="eastAsia" w:ascii="Arial" w:hAnsi="Arial" w:eastAsia="Calibri" w:cs="Arial"/>
          <w:b/>
          <w:bCs/>
          <w:sz w:val="24"/>
          <w:lang w:val="en-GB"/>
        </w:rPr>
        <w:t xml:space="preserve"> RRC re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-establishment</w:t>
      </w:r>
      <w:r>
        <w:rPr>
          <w:rFonts w:hint="eastAsia" w:ascii="Arial" w:hAnsi="Arial" w:eastAsia="Calibri" w:cs="Arial"/>
          <w:b/>
          <w:bCs/>
          <w:sz w:val="24"/>
          <w:lang w:val="en-GB"/>
        </w:rPr>
        <w:t xml:space="preserve"> in NR-U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bookmarkEnd w:id="2"/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8.1.4.3</w:t>
      </w:r>
      <w:bookmarkStart w:id="5" w:name="_GoBack"/>
      <w:bookmarkEnd w:id="5"/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0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In RAN4 93 meeting in Reno, values of counters L</w:t>
      </w:r>
      <w:r>
        <w:rPr>
          <w:rFonts w:hint="eastAsia" w:eastAsia="宋体"/>
          <w:sz w:val="22"/>
          <w:szCs w:val="22"/>
          <w:vertAlign w:val="subscript"/>
          <w:lang w:val="en-US" w:eastAsia="zh-CN"/>
        </w:rPr>
        <w:t>1,max</w:t>
      </w:r>
      <w:r>
        <w:rPr>
          <w:rFonts w:hint="eastAsia" w:eastAsia="宋体"/>
          <w:sz w:val="22"/>
          <w:szCs w:val="22"/>
          <w:lang w:val="en-US" w:eastAsia="zh-CN"/>
        </w:rPr>
        <w:t>, etc have been agreed upon in RRC release with re-direction and RRC re-establishment procedures. Remaining topic include the UE behavior when the number of DMTC cycles not available at the UE exceeds the maximum allowed value, e.g., L</w:t>
      </w:r>
      <w:r>
        <w:rPr>
          <w:rFonts w:hint="eastAsia" w:eastAsia="宋体"/>
          <w:sz w:val="22"/>
          <w:szCs w:val="22"/>
          <w:vertAlign w:val="subscript"/>
          <w:lang w:val="en-US" w:eastAsia="zh-CN"/>
        </w:rPr>
        <w:t>1</w:t>
      </w:r>
      <w:r>
        <w:rPr>
          <w:rFonts w:hint="eastAsia" w:eastAsia="宋体"/>
          <w:sz w:val="22"/>
          <w:szCs w:val="22"/>
          <w:lang w:val="en-US" w:eastAsia="zh-CN"/>
        </w:rPr>
        <w:t xml:space="preserve"> exceeds L</w:t>
      </w:r>
      <w:r>
        <w:rPr>
          <w:rFonts w:hint="eastAsia" w:eastAsia="宋体"/>
          <w:sz w:val="22"/>
          <w:szCs w:val="22"/>
          <w:vertAlign w:val="subscript"/>
          <w:lang w:val="en-US" w:eastAsia="zh-CN"/>
        </w:rPr>
        <w:t>1,max</w:t>
      </w:r>
      <w:r>
        <w:rPr>
          <w:rFonts w:hint="eastAsia" w:eastAsia="宋体"/>
          <w:sz w:val="22"/>
          <w:szCs w:val="22"/>
          <w:lang w:val="en-US" w:eastAsia="zh-CN"/>
        </w:rPr>
        <w:t>. In this paper, we tend to discuss this issue and provide our view.</w:t>
      </w:r>
    </w:p>
    <w:p>
      <w:pPr>
        <w:pStyle w:val="27"/>
        <w:jc w:val="both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UE behavior in cell selection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In RAN4 93 meeting, the following options have been agreed on [1]: </w:t>
      </w:r>
    </w:p>
    <w:tbl>
      <w:tblPr>
        <w:tblStyle w:val="22"/>
        <w:tblW w:w="98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pStyle w:val="25"/>
              <w:spacing w:after="200" w:line="276" w:lineRule="auto"/>
              <w:ind w:left="0" w:leftChars="0"/>
              <w:contextualSpacing/>
              <w:jc w:val="both"/>
              <w:rPr>
                <w:rFonts w:eastAsia="Calibri" w:cs="Times New Roman"/>
                <w:sz w:val="22"/>
                <w:szCs w:val="22"/>
                <w:vertAlign w:val="baseline"/>
                <w:lang w:val="en-GB"/>
              </w:rPr>
            </w:pPr>
            <w:r>
              <w:drawing>
                <wp:inline distT="0" distB="0" distL="114300" distR="114300">
                  <wp:extent cx="4876800" cy="1755140"/>
                  <wp:effectExtent l="0" t="0" r="0" b="1651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6800" cy="1755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In our view, the UE behavior is already well defined by RAN2 spec, namely, clause 5.3.7 in TS 38.331 [2]. In 5.3.7 of 38.331, timer T311 is used to count the time for cell selection (measurement and identification of intra-frequency and inter-frequency cells and SI reading time). In clause </w:t>
      </w:r>
      <w:r>
        <w:rPr>
          <w:rFonts w:hint="eastAsia" w:eastAsia="宋体"/>
          <w:sz w:val="22"/>
          <w:szCs w:val="22"/>
          <w:lang w:val="en-GB" w:eastAsia="zh-CN"/>
        </w:rPr>
        <w:t>5.3.7.6</w:t>
      </w:r>
      <w:r>
        <w:rPr>
          <w:rFonts w:hint="eastAsia" w:eastAsia="宋体"/>
          <w:sz w:val="22"/>
          <w:szCs w:val="22"/>
          <w:lang w:val="en-US" w:eastAsia="zh-CN"/>
        </w:rPr>
        <w:t>, it</w:t>
      </w:r>
      <w:r>
        <w:rPr>
          <w:rFonts w:hint="default" w:eastAsia="宋体"/>
          <w:sz w:val="22"/>
          <w:szCs w:val="22"/>
          <w:lang w:val="en-US" w:eastAsia="zh-CN"/>
        </w:rPr>
        <w:t>’</w:t>
      </w:r>
      <w:r>
        <w:rPr>
          <w:rFonts w:hint="eastAsia" w:eastAsia="宋体"/>
          <w:sz w:val="22"/>
          <w:szCs w:val="22"/>
          <w:lang w:val="en-US" w:eastAsia="zh-CN"/>
        </w:rPr>
        <w:t>s defined that the UE shall go to RRC_IDLE state after expiry of timer T311.</w:t>
      </w:r>
    </w:p>
    <w:tbl>
      <w:tblPr>
        <w:tblStyle w:val="22"/>
        <w:tblW w:w="98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pStyle w:val="25"/>
              <w:spacing w:after="200" w:line="276" w:lineRule="auto"/>
              <w:ind w:left="0" w:leftChars="0"/>
              <w:contextualSpacing/>
              <w:jc w:val="both"/>
              <w:rPr>
                <w:rFonts w:hint="eastAsia" w:ascii="Arial" w:hAnsi="Arial" w:eastAsia="Times New Roman" w:cs="Times New Roman"/>
                <w:i w:val="0"/>
                <w:iCs w:val="0"/>
                <w:sz w:val="24"/>
                <w:szCs w:val="22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i w:val="0"/>
                <w:iCs w:val="0"/>
                <w:sz w:val="24"/>
                <w:szCs w:val="22"/>
                <w:lang w:val="en-GB" w:eastAsia="zh-CN" w:bidi="ar-SA"/>
              </w:rPr>
              <w:t>5.3.7.6</w:t>
            </w:r>
            <w:r>
              <w:rPr>
                <w:rFonts w:hint="eastAsia" w:ascii="Arial" w:hAnsi="Arial" w:eastAsia="Times New Roman" w:cs="Times New Roman"/>
                <w:i w:val="0"/>
                <w:iCs w:val="0"/>
                <w:sz w:val="24"/>
                <w:szCs w:val="22"/>
                <w:lang w:val="en-GB" w:eastAsia="zh-CN" w:bidi="ar-SA"/>
              </w:rPr>
              <w:tab/>
            </w:r>
            <w:r>
              <w:rPr>
                <w:rFonts w:hint="eastAsia" w:ascii="Arial" w:hAnsi="Arial" w:eastAsia="Times New Roman" w:cs="Times New Roman"/>
                <w:i w:val="0"/>
                <w:iCs w:val="0"/>
                <w:sz w:val="24"/>
                <w:szCs w:val="22"/>
                <w:lang w:val="en-GB" w:eastAsia="zh-CN" w:bidi="ar-SA"/>
              </w:rPr>
              <w:t>T311 expiry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hint="eastAsia" w:ascii="Times New Roman" w:hAnsi="Times New Roman" w:eastAsia="Times New Roman" w:cs="Times New Roman"/>
                <w:sz w:val="21"/>
                <w:lang w:val="en-GB" w:eastAsia="zh-CN"/>
              </w:rPr>
            </w:pPr>
            <w:r>
              <w:rPr>
                <w:rFonts w:hint="eastAsia" w:ascii="Times New Roman" w:hAnsi="Times New Roman" w:eastAsia="Times New Roman" w:cs="Times New Roman"/>
                <w:sz w:val="21"/>
                <w:lang w:val="en-GB" w:eastAsia="zh-CN"/>
              </w:rPr>
              <w:t>Upon T311 expiry, the UE shall: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eastAsia="Times New Roman" w:cs="Times New Roman"/>
                <w:i w:val="0"/>
                <w:iCs w:val="0"/>
                <w:sz w:val="24"/>
                <w:szCs w:val="22"/>
                <w:lang w:val="en-GB" w:eastAsia="zh-CN" w:bidi="ar-SA"/>
              </w:rPr>
            </w:pPr>
            <w:r>
              <w:rPr>
                <w:rFonts w:hint="eastAsia" w:ascii="Times New Roman" w:hAnsi="Times New Roman" w:eastAsia="Times New Roman" w:cs="Times New Roman"/>
                <w:sz w:val="21"/>
                <w:lang w:val="en-GB" w:eastAsia="zh-CN"/>
              </w:rPr>
              <w:t>1&gt;</w:t>
            </w:r>
            <w:r>
              <w:rPr>
                <w:rFonts w:hint="eastAsia" w:ascii="Times New Roman" w:hAnsi="Times New Roman" w:eastAsia="Times New Roman" w:cs="Times New Roman"/>
                <w:sz w:val="21"/>
                <w:lang w:val="en-GB" w:eastAsia="zh-CN"/>
              </w:rPr>
              <w:tab/>
            </w:r>
            <w:r>
              <w:rPr>
                <w:rFonts w:hint="eastAsia" w:ascii="Times New Roman" w:hAnsi="Times New Roman" w:eastAsia="Times New Roman" w:cs="Times New Roman"/>
                <w:sz w:val="21"/>
                <w:lang w:val="en-GB" w:eastAsia="zh-CN"/>
              </w:rPr>
              <w:t>perform the actions upon going to RRC_IDLE as specified in 5.3.11, with release cause 'RRC connection failure'.</w:t>
            </w:r>
          </w:p>
        </w:tc>
      </w:tr>
    </w:tbl>
    <w:p>
      <w:pPr>
        <w:pStyle w:val="39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The UE behavior in cell selection is well defined by RAN2 spec TS 38.331.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The counters </w:t>
      </w:r>
      <w:r>
        <w:rPr>
          <w:rFonts w:hint="eastAsia"/>
          <w:lang w:val="en-US" w:eastAsia="zh-CN"/>
        </w:rPr>
        <w:t>K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  <w:lang w:val="en-US" w:eastAsia="zh-CN"/>
        </w:rPr>
        <w:t xml:space="preserve"> and K</w:t>
      </w:r>
      <w:r>
        <w:rPr>
          <w:rFonts w:hint="eastAsia"/>
          <w:vertAlign w:val="subscript"/>
          <w:lang w:val="en-US" w:eastAsia="zh-CN"/>
        </w:rPr>
        <w:t>2,i</w:t>
      </w:r>
      <w:r>
        <w:rPr>
          <w:rFonts w:hint="eastAsia"/>
          <w:vertAlign w:val="baseline"/>
          <w:lang w:val="en-US" w:eastAsia="zh-CN"/>
        </w:rPr>
        <w:t xml:space="preserve"> are used to count missed DMTC cycles during cell identification period, which is already guarded by RAN2 procedures. Thus, there is no need to define </w:t>
      </w:r>
      <w:r>
        <w:rPr>
          <w:rFonts w:hint="eastAsia"/>
          <w:lang w:val="en-US" w:eastAsia="zh-CN"/>
        </w:rPr>
        <w:t>K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  <w:lang w:val="en-US" w:eastAsia="zh-CN"/>
        </w:rPr>
        <w:t xml:space="preserve"> and K</w:t>
      </w:r>
      <w:r>
        <w:rPr>
          <w:rFonts w:hint="eastAsia"/>
          <w:vertAlign w:val="subscript"/>
          <w:lang w:val="en-US" w:eastAsia="zh-CN"/>
        </w:rPr>
        <w:t xml:space="preserve">2,i </w:t>
      </w:r>
      <w:r>
        <w:rPr>
          <w:rFonts w:hint="eastAsia"/>
          <w:vertAlign w:val="baseline"/>
          <w:lang w:val="en-US" w:eastAsia="zh-CN"/>
        </w:rPr>
        <w:t xml:space="preserve">and UE behavior while exceeding </w:t>
      </w:r>
      <w:r>
        <w:rPr>
          <w:rFonts w:hint="eastAsia"/>
          <w:lang w:val="en-US" w:eastAsia="zh-CN"/>
        </w:rPr>
        <w:t>K</w:t>
      </w:r>
      <w:r>
        <w:rPr>
          <w:rFonts w:hint="eastAsia"/>
          <w:vertAlign w:val="subscript"/>
          <w:lang w:val="en-US" w:eastAsia="zh-CN"/>
        </w:rPr>
        <w:t>1,max</w:t>
      </w:r>
      <w:r>
        <w:rPr>
          <w:rFonts w:hint="eastAsia"/>
          <w:lang w:val="en-US" w:eastAsia="zh-CN"/>
        </w:rPr>
        <w:t xml:space="preserve"> and K</w:t>
      </w:r>
      <w:r>
        <w:rPr>
          <w:rFonts w:hint="eastAsia"/>
          <w:vertAlign w:val="subscript"/>
          <w:lang w:val="en-US" w:eastAsia="zh-CN"/>
        </w:rPr>
        <w:t>2,i,max</w:t>
      </w:r>
      <w:r>
        <w:rPr>
          <w:rFonts w:hint="eastAsia"/>
          <w:vertAlign w:val="baseline"/>
          <w:lang w:val="en-US" w:eastAsia="zh-CN"/>
        </w:rPr>
        <w:t>.</w:t>
      </w:r>
    </w:p>
    <w:p>
      <w:pPr>
        <w:pStyle w:val="35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 xml:space="preserve">There is no need to define </w:t>
      </w:r>
      <w:r>
        <w:rPr>
          <w:rFonts w:hint="eastAsia"/>
          <w:lang w:val="en-US" w:eastAsia="zh-CN"/>
        </w:rPr>
        <w:t>K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  <w:lang w:val="en-US" w:eastAsia="zh-CN"/>
        </w:rPr>
        <w:t xml:space="preserve"> and K</w:t>
      </w:r>
      <w:r>
        <w:rPr>
          <w:rFonts w:hint="eastAsia"/>
          <w:vertAlign w:val="subscript"/>
          <w:lang w:val="en-US" w:eastAsia="zh-CN"/>
        </w:rPr>
        <w:t xml:space="preserve">2,i </w:t>
      </w:r>
      <w:r>
        <w:rPr>
          <w:rFonts w:hint="eastAsia"/>
          <w:vertAlign w:val="baseline"/>
          <w:lang w:val="en-US" w:eastAsia="zh-CN"/>
        </w:rPr>
        <w:t xml:space="preserve">and UE behavior while exceeding </w:t>
      </w:r>
      <w:r>
        <w:rPr>
          <w:rFonts w:hint="eastAsia"/>
          <w:lang w:val="en-US" w:eastAsia="zh-CN"/>
        </w:rPr>
        <w:t>K</w:t>
      </w:r>
      <w:r>
        <w:rPr>
          <w:rFonts w:hint="eastAsia"/>
          <w:vertAlign w:val="subscript"/>
          <w:lang w:val="en-US" w:eastAsia="zh-CN"/>
        </w:rPr>
        <w:t>1,max</w:t>
      </w:r>
      <w:r>
        <w:rPr>
          <w:rFonts w:hint="eastAsia"/>
          <w:lang w:val="en-US" w:eastAsia="zh-CN"/>
        </w:rPr>
        <w:t xml:space="preserve"> and K</w:t>
      </w:r>
      <w:r>
        <w:rPr>
          <w:rFonts w:hint="eastAsia"/>
          <w:vertAlign w:val="subscript"/>
          <w:lang w:val="en-US" w:eastAsia="zh-CN"/>
        </w:rPr>
        <w:t>2,i,max</w:t>
      </w:r>
      <w:r>
        <w:rPr>
          <w:rFonts w:hint="eastAsia"/>
          <w:vertAlign w:val="baseline"/>
          <w:lang w:val="en-US" w:eastAsia="zh-CN"/>
        </w:rPr>
        <w:t>.</w:t>
      </w:r>
    </w:p>
    <w:p>
      <w:pPr>
        <w:pStyle w:val="27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  <w:lang w:val="en-US" w:eastAsia="zh-CN"/>
        </w:rPr>
        <w:t>UE behavior in PRACH transmission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For the case under which the UE can</w:t>
      </w:r>
      <w:r>
        <w:rPr>
          <w:rFonts w:hint="default"/>
          <w:sz w:val="22"/>
          <w:szCs w:val="22"/>
          <w:lang w:val="en-US" w:eastAsia="zh-CN"/>
        </w:rPr>
        <w:t>’</w:t>
      </w:r>
      <w:r>
        <w:rPr>
          <w:rFonts w:hint="eastAsia"/>
          <w:sz w:val="22"/>
          <w:szCs w:val="22"/>
          <w:lang w:val="en-US" w:eastAsia="zh-CN"/>
        </w:rPr>
        <w:t>t transmit PRACH due to UL LBT failure, there are clear definitions in RAN2 specification as well. T</w:t>
      </w:r>
      <w:r>
        <w:rPr>
          <w:rFonts w:hint="eastAsia" w:eastAsia="宋体"/>
          <w:sz w:val="22"/>
          <w:szCs w:val="22"/>
          <w:lang w:val="en-US" w:eastAsia="zh-CN"/>
        </w:rPr>
        <w:t xml:space="preserve">imer T301 is used to count the time for PRACH transmission. In clause </w:t>
      </w:r>
      <w:r>
        <w:rPr>
          <w:rFonts w:hint="eastAsia" w:eastAsia="宋体"/>
          <w:sz w:val="22"/>
          <w:szCs w:val="22"/>
          <w:lang w:val="en-GB" w:eastAsia="zh-CN"/>
        </w:rPr>
        <w:t>5.3.7.</w:t>
      </w:r>
      <w:r>
        <w:rPr>
          <w:rFonts w:hint="eastAsia" w:eastAsia="宋体"/>
          <w:sz w:val="22"/>
          <w:szCs w:val="22"/>
          <w:lang w:val="en-US" w:eastAsia="zh-CN"/>
        </w:rPr>
        <w:t>7, the UE behavior after expiry of timer T311 is defined:</w:t>
      </w:r>
    </w:p>
    <w:tbl>
      <w:tblPr>
        <w:tblStyle w:val="22"/>
        <w:tblW w:w="98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pStyle w:val="5"/>
              <w:pBdr>
                <w:top w:val="none" w:color="auto" w:sz="0" w:space="0"/>
              </w:pBdr>
              <w:overflowPunct w:val="0"/>
              <w:autoSpaceDE w:val="0"/>
              <w:autoSpaceDN w:val="0"/>
              <w:adjustRightInd w:val="0"/>
              <w:spacing w:before="120" w:after="180" w:line="240" w:lineRule="auto"/>
              <w:ind w:left="1418" w:hanging="1418"/>
              <w:textAlignment w:val="baseline"/>
              <w:rPr>
                <w:rFonts w:ascii="Arial" w:hAnsi="Arial" w:eastAsia="Times New Roman" w:cs="Times New Roman"/>
                <w:i w:val="0"/>
                <w:iCs w:val="0"/>
                <w:szCs w:val="22"/>
                <w:lang w:val="en-GB" w:eastAsia="zh-CN" w:bidi="ar-SA"/>
              </w:rPr>
            </w:pPr>
            <w:bookmarkStart w:id="3" w:name="_Toc20425737"/>
            <w:r>
              <w:rPr>
                <w:rFonts w:ascii="Arial" w:hAnsi="Arial" w:eastAsia="Times New Roman" w:cs="Times New Roman"/>
                <w:i w:val="0"/>
                <w:iCs w:val="0"/>
                <w:szCs w:val="22"/>
                <w:lang w:val="en-GB" w:eastAsia="zh-CN" w:bidi="ar-SA"/>
              </w:rPr>
              <w:t>5.3.7.7</w:t>
            </w:r>
            <w:r>
              <w:rPr>
                <w:rFonts w:ascii="Arial" w:hAnsi="Arial" w:eastAsia="Times New Roman" w:cs="Times New Roman"/>
                <w:i w:val="0"/>
                <w:iCs w:val="0"/>
                <w:szCs w:val="22"/>
                <w:lang w:val="en-GB" w:eastAsia="zh-CN" w:bidi="ar-SA"/>
              </w:rPr>
              <w:tab/>
            </w:r>
            <w:r>
              <w:rPr>
                <w:rFonts w:ascii="Arial" w:hAnsi="Arial" w:eastAsia="Times New Roman" w:cs="Times New Roman"/>
                <w:i w:val="0"/>
                <w:iCs w:val="0"/>
                <w:szCs w:val="22"/>
                <w:lang w:val="en-GB" w:eastAsia="zh-CN" w:bidi="ar-SA"/>
              </w:rPr>
              <w:t>T301 expiry or selected cell no longer suitable</w:t>
            </w:r>
            <w:bookmarkEnd w:id="3"/>
          </w:p>
          <w:p>
            <w:r>
              <w:t>The UE shall:</w:t>
            </w:r>
          </w:p>
          <w:p>
            <w:pPr>
              <w:pStyle w:val="65"/>
              <w:rPr>
                <w:lang w:val="en-GB"/>
              </w:rPr>
            </w:pPr>
            <w:r>
              <w:rPr>
                <w:lang w:val="en-GB"/>
              </w:rPr>
              <w:t>1&gt;</w:t>
            </w:r>
            <w:r>
              <w:rPr>
                <w:lang w:val="en-GB"/>
              </w:rPr>
              <w:tab/>
            </w:r>
            <w:r>
              <w:rPr>
                <w:lang w:val="en-GB"/>
              </w:rPr>
              <w:t>if timer T301 expires; or</w:t>
            </w:r>
          </w:p>
          <w:p>
            <w:pPr>
              <w:pStyle w:val="65"/>
              <w:rPr>
                <w:lang w:val="en-GB"/>
              </w:rPr>
            </w:pPr>
            <w:r>
              <w:rPr>
                <w:lang w:val="en-GB"/>
              </w:rPr>
              <w:t>1&gt;</w:t>
            </w:r>
            <w:r>
              <w:rPr>
                <w:lang w:val="en-GB"/>
              </w:rPr>
              <w:tab/>
            </w:r>
            <w:r>
              <w:rPr>
                <w:lang w:val="en-GB"/>
              </w:rPr>
              <w:t>if the selected cell becomes no longer suitable according to the cell selection criteria as specified in TS 38.304 [20]: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hAnsi="Arial" w:eastAsia="Times New Roman" w:cs="Times New Roman"/>
                <w:i w:val="0"/>
                <w:iCs w:val="0"/>
                <w:sz w:val="24"/>
                <w:szCs w:val="22"/>
                <w:lang w:val="en-GB" w:eastAsia="zh-CN" w:bidi="ar-SA"/>
              </w:rPr>
            </w:pPr>
            <w:r>
              <w:rPr>
                <w:lang w:val="en-GB"/>
              </w:rPr>
              <w:t>2&gt;</w:t>
            </w:r>
            <w:r>
              <w:rPr>
                <w:lang w:val="en-GB"/>
              </w:rPr>
              <w:tab/>
            </w:r>
            <w:r>
              <w:rPr>
                <w:lang w:val="en-GB"/>
              </w:rPr>
              <w:t>perform the actions upon going to RRC_IDLE as specified in 5.3.11, with release cause 'RRC connection failure'.</w:t>
            </w:r>
          </w:p>
        </w:tc>
      </w:tr>
    </w:tbl>
    <w:p>
      <w:pPr>
        <w:pStyle w:val="39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The UE behavior in PRACH transmission is already defined by RAN2 spec TS 38.331.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The counters </w:t>
      </w:r>
      <w:r>
        <w:rPr>
          <w:rFonts w:hint="eastAsia"/>
          <w:lang w:val="en-US" w:eastAsia="zh-CN"/>
        </w:rPr>
        <w:t>K</w:t>
      </w:r>
      <w:r>
        <w:rPr>
          <w:rFonts w:hint="eastAsia"/>
          <w:vertAlign w:val="subscript"/>
          <w:lang w:val="en-US" w:eastAsia="zh-CN"/>
        </w:rPr>
        <w:t>3</w:t>
      </w:r>
      <w:r>
        <w:rPr>
          <w:rFonts w:hint="eastAsia"/>
          <w:lang w:val="en-US" w:eastAsia="zh-CN"/>
        </w:rPr>
        <w:t xml:space="preserve"> is</w:t>
      </w:r>
      <w:r>
        <w:rPr>
          <w:rFonts w:hint="eastAsia"/>
          <w:vertAlign w:val="baseline"/>
          <w:lang w:val="en-US" w:eastAsia="zh-CN"/>
        </w:rPr>
        <w:t xml:space="preserve"> used to count the number of unavailable PRACH occasions due to UL LBT failure, which is already guarded by RAN2 procedures. Thus, there is no need to define </w:t>
      </w:r>
      <w:r>
        <w:rPr>
          <w:rFonts w:hint="eastAsia"/>
          <w:lang w:val="en-US" w:eastAsia="zh-CN"/>
        </w:rPr>
        <w:t>K</w:t>
      </w:r>
      <w:r>
        <w:rPr>
          <w:rFonts w:hint="eastAsia"/>
          <w:vertAlign w:val="subscript"/>
          <w:lang w:val="en-US" w:eastAsia="zh-CN"/>
        </w:rPr>
        <w:t>3</w:t>
      </w:r>
      <w:r>
        <w:rPr>
          <w:rFonts w:hint="eastAsia"/>
          <w:lang w:val="en-US" w:eastAsia="zh-CN"/>
        </w:rPr>
        <w:t xml:space="preserve"> and </w:t>
      </w:r>
      <w:r>
        <w:rPr>
          <w:rFonts w:hint="eastAsia"/>
          <w:vertAlign w:val="baseline"/>
          <w:lang w:val="en-US" w:eastAsia="zh-CN"/>
        </w:rPr>
        <w:t xml:space="preserve">UE behavior while exceeding </w:t>
      </w:r>
      <w:r>
        <w:rPr>
          <w:rFonts w:hint="eastAsia"/>
          <w:lang w:val="en-US" w:eastAsia="zh-CN"/>
        </w:rPr>
        <w:t>K</w:t>
      </w:r>
      <w:r>
        <w:rPr>
          <w:rFonts w:hint="eastAsia"/>
          <w:vertAlign w:val="subscript"/>
          <w:lang w:val="en-US" w:eastAsia="zh-CN"/>
        </w:rPr>
        <w:t>3,max</w:t>
      </w:r>
      <w:r>
        <w:rPr>
          <w:rFonts w:hint="eastAsia"/>
          <w:vertAlign w:val="baseline"/>
          <w:lang w:val="en-US" w:eastAsia="zh-CN"/>
        </w:rPr>
        <w:t>.</w:t>
      </w:r>
    </w:p>
    <w:p>
      <w:pPr>
        <w:pStyle w:val="35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 xml:space="preserve">There is no need to define </w:t>
      </w:r>
      <w:r>
        <w:rPr>
          <w:rFonts w:hint="eastAsia"/>
          <w:lang w:val="en-US" w:eastAsia="zh-CN"/>
        </w:rPr>
        <w:t>K</w:t>
      </w:r>
      <w:r>
        <w:rPr>
          <w:rFonts w:hint="eastAsia"/>
          <w:vertAlign w:val="subscript"/>
          <w:lang w:val="en-US" w:eastAsia="zh-CN"/>
        </w:rPr>
        <w:t>3</w:t>
      </w:r>
      <w:r>
        <w:rPr>
          <w:rFonts w:hint="eastAsia"/>
          <w:lang w:val="en-US" w:eastAsia="zh-CN"/>
        </w:rPr>
        <w:t xml:space="preserve"> and </w:t>
      </w:r>
      <w:r>
        <w:rPr>
          <w:rFonts w:hint="eastAsia"/>
          <w:vertAlign w:val="baseline"/>
          <w:lang w:val="en-US" w:eastAsia="zh-CN"/>
        </w:rPr>
        <w:t xml:space="preserve">UE behavior while exceeding </w:t>
      </w:r>
      <w:r>
        <w:rPr>
          <w:rFonts w:hint="eastAsia"/>
          <w:lang w:val="en-US" w:eastAsia="zh-CN"/>
        </w:rPr>
        <w:t>K</w:t>
      </w:r>
      <w:r>
        <w:rPr>
          <w:rFonts w:hint="eastAsia"/>
          <w:vertAlign w:val="subscript"/>
          <w:lang w:val="en-US" w:eastAsia="zh-CN"/>
        </w:rPr>
        <w:t>3,max</w:t>
      </w:r>
      <w:r>
        <w:rPr>
          <w:rFonts w:hint="eastAsia"/>
          <w:vertAlign w:val="baseline"/>
          <w:lang w:val="en-US" w:eastAsia="zh-CN"/>
        </w:rPr>
        <w:t>.</w:t>
      </w:r>
    </w:p>
    <w:p>
      <w:pPr>
        <w:pStyle w:val="27"/>
        <w:jc w:val="both"/>
      </w:pPr>
      <w:r>
        <w:rPr>
          <w:rFonts w:hint="eastAsia"/>
          <w:lang w:val="en-US" w:eastAsia="zh-CN"/>
        </w:rPr>
        <w:t>4</w:t>
      </w:r>
      <w:r>
        <w:tab/>
      </w:r>
      <w:r>
        <w:t>Conclusion</w:t>
      </w:r>
    </w:p>
    <w:p>
      <w:pPr>
        <w:pStyle w:val="29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firstLine="0"/>
        <w:textAlignment w:val="auto"/>
        <w:outlineLvl w:val="9"/>
        <w:rPr>
          <w:sz w:val="22"/>
          <w:szCs w:val="22"/>
        </w:rPr>
      </w:pPr>
      <w:r>
        <w:rPr>
          <w:rFonts w:hint="eastAsia" w:eastAsia="宋体"/>
          <w:sz w:val="22"/>
          <w:szCs w:val="22"/>
          <w:lang w:val="en-US" w:eastAsia="zh-CN"/>
        </w:rPr>
        <w:t>The UE behavior in cell selection is well defined by RAN2 spec TS 38.331.</w:t>
      </w:r>
    </w:p>
    <w:p>
      <w:pPr>
        <w:pStyle w:val="35"/>
        <w:numPr>
          <w:ilvl w:val="0"/>
          <w:numId w:val="0"/>
        </w:numPr>
        <w:ind w:leftChars="0"/>
        <w:rPr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 xml:space="preserve">Proposal 1: </w:t>
      </w:r>
      <w:r>
        <w:rPr>
          <w:rFonts w:hint="eastAsia"/>
          <w:vertAlign w:val="baseline"/>
          <w:lang w:val="en-US" w:eastAsia="zh-CN"/>
        </w:rPr>
        <w:t xml:space="preserve">There is no need to define </w:t>
      </w:r>
      <w:r>
        <w:rPr>
          <w:rFonts w:hint="eastAsia"/>
          <w:lang w:val="en-US" w:eastAsia="zh-CN"/>
        </w:rPr>
        <w:t>K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  <w:lang w:val="en-US" w:eastAsia="zh-CN"/>
        </w:rPr>
        <w:t xml:space="preserve"> and K</w:t>
      </w:r>
      <w:r>
        <w:rPr>
          <w:rFonts w:hint="eastAsia"/>
          <w:vertAlign w:val="subscript"/>
          <w:lang w:val="en-US" w:eastAsia="zh-CN"/>
        </w:rPr>
        <w:t xml:space="preserve">2,i </w:t>
      </w:r>
      <w:r>
        <w:rPr>
          <w:rFonts w:hint="eastAsia"/>
          <w:vertAlign w:val="baseline"/>
          <w:lang w:val="en-US" w:eastAsia="zh-CN"/>
        </w:rPr>
        <w:t xml:space="preserve">and UE behavior while exceeding </w:t>
      </w:r>
      <w:r>
        <w:rPr>
          <w:rFonts w:hint="eastAsia"/>
          <w:lang w:val="en-US" w:eastAsia="zh-CN"/>
        </w:rPr>
        <w:t>K</w:t>
      </w:r>
      <w:r>
        <w:rPr>
          <w:rFonts w:hint="eastAsia"/>
          <w:vertAlign w:val="subscript"/>
          <w:lang w:val="en-US" w:eastAsia="zh-CN"/>
        </w:rPr>
        <w:t>1,max</w:t>
      </w:r>
      <w:r>
        <w:rPr>
          <w:rFonts w:hint="eastAsia"/>
          <w:lang w:val="en-US" w:eastAsia="zh-CN"/>
        </w:rPr>
        <w:t xml:space="preserve"> and K</w:t>
      </w:r>
      <w:r>
        <w:rPr>
          <w:rFonts w:hint="eastAsia"/>
          <w:vertAlign w:val="subscript"/>
          <w:lang w:val="en-US" w:eastAsia="zh-CN"/>
        </w:rPr>
        <w:t>2,i,max</w:t>
      </w:r>
      <w:r>
        <w:rPr>
          <w:rFonts w:hint="eastAsia"/>
          <w:sz w:val="22"/>
          <w:szCs w:val="22"/>
          <w:lang w:val="en-US" w:eastAsia="zh-CN"/>
        </w:rPr>
        <w:t>.</w:t>
      </w:r>
    </w:p>
    <w:p>
      <w:pPr>
        <w:pStyle w:val="39"/>
        <w:rPr>
          <w:sz w:val="22"/>
          <w:szCs w:val="22"/>
        </w:rPr>
      </w:pPr>
      <w:r>
        <w:rPr>
          <w:rFonts w:hint="eastAsia" w:eastAsia="宋体"/>
          <w:sz w:val="22"/>
          <w:szCs w:val="22"/>
          <w:lang w:val="en-US" w:eastAsia="zh-CN"/>
        </w:rPr>
        <w:t>The UE behavior in PRACH transmission is already defined by RAN2 spec TS 38.331.</w:t>
      </w:r>
    </w:p>
    <w:p>
      <w:pPr>
        <w:pStyle w:val="35"/>
        <w:numPr>
          <w:ilvl w:val="0"/>
          <w:numId w:val="0"/>
        </w:numPr>
        <w:ind w:leftChars="0"/>
        <w:rPr>
          <w:rFonts w:hint="default"/>
          <w:b w:val="0"/>
          <w:iCs w:val="0"/>
          <w:sz w:val="22"/>
          <w:szCs w:val="22"/>
          <w:lang w:val="en-US"/>
        </w:rPr>
      </w:pPr>
      <w:r>
        <w:rPr>
          <w:rFonts w:hint="eastAsia"/>
          <w:sz w:val="22"/>
          <w:szCs w:val="22"/>
          <w:lang w:val="en-US" w:eastAsia="zh-CN"/>
        </w:rPr>
        <w:t xml:space="preserve">Proposal 2: </w:t>
      </w:r>
      <w:r>
        <w:rPr>
          <w:rFonts w:hint="eastAsia"/>
          <w:vertAlign w:val="baseline"/>
          <w:lang w:val="en-US" w:eastAsia="zh-CN"/>
        </w:rPr>
        <w:t xml:space="preserve">There is no need to define </w:t>
      </w:r>
      <w:r>
        <w:rPr>
          <w:rFonts w:hint="eastAsia"/>
          <w:lang w:val="en-US" w:eastAsia="zh-CN"/>
        </w:rPr>
        <w:t>K</w:t>
      </w:r>
      <w:r>
        <w:rPr>
          <w:rFonts w:hint="eastAsia"/>
          <w:vertAlign w:val="subscript"/>
          <w:lang w:val="en-US" w:eastAsia="zh-CN"/>
        </w:rPr>
        <w:t>3</w:t>
      </w:r>
      <w:r>
        <w:rPr>
          <w:rFonts w:hint="eastAsia"/>
          <w:lang w:val="en-US" w:eastAsia="zh-CN"/>
        </w:rPr>
        <w:t xml:space="preserve"> and </w:t>
      </w:r>
      <w:r>
        <w:rPr>
          <w:rFonts w:hint="eastAsia"/>
          <w:vertAlign w:val="baseline"/>
          <w:lang w:val="en-US" w:eastAsia="zh-CN"/>
        </w:rPr>
        <w:t xml:space="preserve">UE behavior while exceeding </w:t>
      </w:r>
      <w:r>
        <w:rPr>
          <w:rFonts w:hint="eastAsia"/>
          <w:lang w:val="en-US" w:eastAsia="zh-CN"/>
        </w:rPr>
        <w:t>K</w:t>
      </w:r>
      <w:r>
        <w:rPr>
          <w:rFonts w:hint="eastAsia"/>
          <w:vertAlign w:val="subscript"/>
          <w:lang w:val="en-US" w:eastAsia="zh-CN"/>
        </w:rPr>
        <w:t>3,max.</w:t>
      </w:r>
    </w:p>
    <w:p>
      <w:pPr>
        <w:pStyle w:val="27"/>
        <w:jc w:val="both"/>
      </w:pPr>
      <w:r>
        <w:t>References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4" w:name="_Ref2843888"/>
      <w:r>
        <w:rPr>
          <w:rFonts w:hint="eastAsia" w:eastAsia="宋体"/>
          <w:lang w:val="en-US" w:eastAsia="zh-CN"/>
        </w:rPr>
        <w:t>R4-1915777, WF on RRM Requirements for NR-U</w:t>
      </w:r>
      <w:r>
        <w:rPr>
          <w:lang w:val="en-GB"/>
        </w:rPr>
        <w:t>.</w:t>
      </w:r>
      <w:bookmarkEnd w:id="4"/>
      <w:r>
        <w:rPr>
          <w:lang w:val="en-GB"/>
        </w:rPr>
        <w:t xml:space="preserve"> 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rFonts w:hint="eastAsia" w:eastAsia="宋体"/>
          <w:lang w:val="en-US" w:eastAsia="zh-CN"/>
        </w:rPr>
        <w:t xml:space="preserve">TS 38.331; </w:t>
      </w:r>
      <w:r>
        <w:t>Radio Resource Control (RRC) protocol specification</w:t>
      </w:r>
      <w:r>
        <w:rPr>
          <w:rFonts w:hint="eastAsia" w:eastAsia="宋体"/>
          <w:lang w:val="en-US" w:eastAsia="zh-CN"/>
        </w:rPr>
        <w:t>.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29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5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1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46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  <w:lvlOverride w:ilvl="0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3EDF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660D4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16EDC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B274E2"/>
    <w:rsid w:val="02C25D33"/>
    <w:rsid w:val="02DA1A9B"/>
    <w:rsid w:val="03C6506D"/>
    <w:rsid w:val="03F37217"/>
    <w:rsid w:val="04C77D0A"/>
    <w:rsid w:val="04D5204C"/>
    <w:rsid w:val="059B61E4"/>
    <w:rsid w:val="05A86143"/>
    <w:rsid w:val="06105DAC"/>
    <w:rsid w:val="069766CC"/>
    <w:rsid w:val="07502CA2"/>
    <w:rsid w:val="078B76F8"/>
    <w:rsid w:val="079D410C"/>
    <w:rsid w:val="080661C8"/>
    <w:rsid w:val="08641205"/>
    <w:rsid w:val="0868025F"/>
    <w:rsid w:val="0873226E"/>
    <w:rsid w:val="08935729"/>
    <w:rsid w:val="08C654D4"/>
    <w:rsid w:val="08CC5D10"/>
    <w:rsid w:val="092C45E6"/>
    <w:rsid w:val="099F556C"/>
    <w:rsid w:val="09C640C3"/>
    <w:rsid w:val="0A5763D4"/>
    <w:rsid w:val="0A7BF868"/>
    <w:rsid w:val="0B2F05F5"/>
    <w:rsid w:val="0B7322DC"/>
    <w:rsid w:val="0BB77882"/>
    <w:rsid w:val="0C3C5307"/>
    <w:rsid w:val="0C56263C"/>
    <w:rsid w:val="0C5E2B8A"/>
    <w:rsid w:val="0D102274"/>
    <w:rsid w:val="0DA958CA"/>
    <w:rsid w:val="0DF104D3"/>
    <w:rsid w:val="0E1C586B"/>
    <w:rsid w:val="0E5237AB"/>
    <w:rsid w:val="0ED138E6"/>
    <w:rsid w:val="0EED584B"/>
    <w:rsid w:val="0F67780F"/>
    <w:rsid w:val="0F8F3C2A"/>
    <w:rsid w:val="0FB648CB"/>
    <w:rsid w:val="0FD0731A"/>
    <w:rsid w:val="0FD91262"/>
    <w:rsid w:val="0FF1533A"/>
    <w:rsid w:val="0FFE0AFA"/>
    <w:rsid w:val="10AA3C13"/>
    <w:rsid w:val="10CD0B75"/>
    <w:rsid w:val="10E1188F"/>
    <w:rsid w:val="110C4D24"/>
    <w:rsid w:val="122017FC"/>
    <w:rsid w:val="128409CA"/>
    <w:rsid w:val="12BB3A94"/>
    <w:rsid w:val="12EF585C"/>
    <w:rsid w:val="13262572"/>
    <w:rsid w:val="136D11EC"/>
    <w:rsid w:val="137D50D6"/>
    <w:rsid w:val="139B3B65"/>
    <w:rsid w:val="13D36053"/>
    <w:rsid w:val="13F75352"/>
    <w:rsid w:val="1480544B"/>
    <w:rsid w:val="14B36B91"/>
    <w:rsid w:val="164F667E"/>
    <w:rsid w:val="165D0583"/>
    <w:rsid w:val="16654289"/>
    <w:rsid w:val="16DB79C9"/>
    <w:rsid w:val="17141F2D"/>
    <w:rsid w:val="17A076C4"/>
    <w:rsid w:val="17A62BCE"/>
    <w:rsid w:val="17E826AB"/>
    <w:rsid w:val="18D3414F"/>
    <w:rsid w:val="18D91924"/>
    <w:rsid w:val="1900371A"/>
    <w:rsid w:val="19A96435"/>
    <w:rsid w:val="1A0B3A21"/>
    <w:rsid w:val="1B3329B5"/>
    <w:rsid w:val="1B7F155B"/>
    <w:rsid w:val="1C6A6128"/>
    <w:rsid w:val="1D1F1294"/>
    <w:rsid w:val="1E8806BC"/>
    <w:rsid w:val="1EA137E3"/>
    <w:rsid w:val="1EE66AFB"/>
    <w:rsid w:val="1F0936F5"/>
    <w:rsid w:val="1F17474D"/>
    <w:rsid w:val="1F2B10F9"/>
    <w:rsid w:val="1F711839"/>
    <w:rsid w:val="200D067C"/>
    <w:rsid w:val="20811B82"/>
    <w:rsid w:val="20A662B2"/>
    <w:rsid w:val="21091739"/>
    <w:rsid w:val="211451D0"/>
    <w:rsid w:val="2151075A"/>
    <w:rsid w:val="219E74A3"/>
    <w:rsid w:val="220539DF"/>
    <w:rsid w:val="22571B82"/>
    <w:rsid w:val="22920D1D"/>
    <w:rsid w:val="22C0245E"/>
    <w:rsid w:val="23514077"/>
    <w:rsid w:val="23855295"/>
    <w:rsid w:val="23AF1AFD"/>
    <w:rsid w:val="23B20773"/>
    <w:rsid w:val="23CF6D67"/>
    <w:rsid w:val="248F188B"/>
    <w:rsid w:val="24E91488"/>
    <w:rsid w:val="25077EC5"/>
    <w:rsid w:val="25151459"/>
    <w:rsid w:val="25630107"/>
    <w:rsid w:val="25962669"/>
    <w:rsid w:val="25C20278"/>
    <w:rsid w:val="262D62D9"/>
    <w:rsid w:val="26681CAB"/>
    <w:rsid w:val="267E5FCE"/>
    <w:rsid w:val="27572E0B"/>
    <w:rsid w:val="27690A7C"/>
    <w:rsid w:val="280C272A"/>
    <w:rsid w:val="28352D10"/>
    <w:rsid w:val="284E33F7"/>
    <w:rsid w:val="287A3770"/>
    <w:rsid w:val="293606FA"/>
    <w:rsid w:val="29517179"/>
    <w:rsid w:val="29E7086A"/>
    <w:rsid w:val="2A1219AD"/>
    <w:rsid w:val="2A394321"/>
    <w:rsid w:val="2AE26D3F"/>
    <w:rsid w:val="2AF8774D"/>
    <w:rsid w:val="2B0F6E62"/>
    <w:rsid w:val="2B4E55E6"/>
    <w:rsid w:val="2B7579C5"/>
    <w:rsid w:val="2B9A0978"/>
    <w:rsid w:val="2BA02E1C"/>
    <w:rsid w:val="2BB04900"/>
    <w:rsid w:val="2C3A3275"/>
    <w:rsid w:val="2C495744"/>
    <w:rsid w:val="2CEE6B8D"/>
    <w:rsid w:val="2D233DAE"/>
    <w:rsid w:val="2D8E403A"/>
    <w:rsid w:val="2E0770FA"/>
    <w:rsid w:val="2E145F76"/>
    <w:rsid w:val="2EA86D09"/>
    <w:rsid w:val="2F32226B"/>
    <w:rsid w:val="2F376D10"/>
    <w:rsid w:val="2FA231C5"/>
    <w:rsid w:val="308B65F2"/>
    <w:rsid w:val="3117229F"/>
    <w:rsid w:val="31395268"/>
    <w:rsid w:val="31950F1B"/>
    <w:rsid w:val="31A50177"/>
    <w:rsid w:val="32021E31"/>
    <w:rsid w:val="320F0A18"/>
    <w:rsid w:val="32351CB2"/>
    <w:rsid w:val="324554E5"/>
    <w:rsid w:val="325D2B5A"/>
    <w:rsid w:val="327661FC"/>
    <w:rsid w:val="3288676B"/>
    <w:rsid w:val="32B33B5A"/>
    <w:rsid w:val="32EE27B2"/>
    <w:rsid w:val="33245EFA"/>
    <w:rsid w:val="33372789"/>
    <w:rsid w:val="333876C2"/>
    <w:rsid w:val="33484A1E"/>
    <w:rsid w:val="335F47E9"/>
    <w:rsid w:val="33AE6CC5"/>
    <w:rsid w:val="346E4104"/>
    <w:rsid w:val="3476470C"/>
    <w:rsid w:val="34D70CE0"/>
    <w:rsid w:val="34D83C16"/>
    <w:rsid w:val="3509315E"/>
    <w:rsid w:val="351A4CC6"/>
    <w:rsid w:val="37705F34"/>
    <w:rsid w:val="377700B0"/>
    <w:rsid w:val="37846083"/>
    <w:rsid w:val="37AF7036"/>
    <w:rsid w:val="380927B5"/>
    <w:rsid w:val="3876150B"/>
    <w:rsid w:val="392739EA"/>
    <w:rsid w:val="392D38AD"/>
    <w:rsid w:val="3946679B"/>
    <w:rsid w:val="399A43EA"/>
    <w:rsid w:val="3A0F1960"/>
    <w:rsid w:val="3A166029"/>
    <w:rsid w:val="3A364B42"/>
    <w:rsid w:val="3AF216E5"/>
    <w:rsid w:val="3B30671A"/>
    <w:rsid w:val="3B5662AC"/>
    <w:rsid w:val="3C1A2B92"/>
    <w:rsid w:val="3C727D51"/>
    <w:rsid w:val="3CCE203C"/>
    <w:rsid w:val="3D0C1655"/>
    <w:rsid w:val="3D4E48C8"/>
    <w:rsid w:val="3D77737D"/>
    <w:rsid w:val="3DC04E13"/>
    <w:rsid w:val="3DD017A7"/>
    <w:rsid w:val="3DD244E7"/>
    <w:rsid w:val="3E5B41D6"/>
    <w:rsid w:val="3ECE16FA"/>
    <w:rsid w:val="3F072EB0"/>
    <w:rsid w:val="3FF55768"/>
    <w:rsid w:val="40566CBF"/>
    <w:rsid w:val="405B0BEF"/>
    <w:rsid w:val="405C2B22"/>
    <w:rsid w:val="407921CE"/>
    <w:rsid w:val="40C04FE0"/>
    <w:rsid w:val="41AA7137"/>
    <w:rsid w:val="41EC58FB"/>
    <w:rsid w:val="42381A71"/>
    <w:rsid w:val="426B0C9E"/>
    <w:rsid w:val="42841694"/>
    <w:rsid w:val="429266C7"/>
    <w:rsid w:val="42AF1322"/>
    <w:rsid w:val="42B30ACF"/>
    <w:rsid w:val="42E73C10"/>
    <w:rsid w:val="430903EA"/>
    <w:rsid w:val="43140EC2"/>
    <w:rsid w:val="43EE582E"/>
    <w:rsid w:val="43FB3DA4"/>
    <w:rsid w:val="44022066"/>
    <w:rsid w:val="441C4006"/>
    <w:rsid w:val="449E489D"/>
    <w:rsid w:val="44B24294"/>
    <w:rsid w:val="451019FB"/>
    <w:rsid w:val="455B13AC"/>
    <w:rsid w:val="45CF3CD0"/>
    <w:rsid w:val="460567D8"/>
    <w:rsid w:val="462F25DF"/>
    <w:rsid w:val="46620161"/>
    <w:rsid w:val="477A6D83"/>
    <w:rsid w:val="47C304FD"/>
    <w:rsid w:val="47C357A6"/>
    <w:rsid w:val="47D60CD2"/>
    <w:rsid w:val="47D77F02"/>
    <w:rsid w:val="487C3875"/>
    <w:rsid w:val="48977283"/>
    <w:rsid w:val="48FA3778"/>
    <w:rsid w:val="49896512"/>
    <w:rsid w:val="4996414B"/>
    <w:rsid w:val="49BA3D71"/>
    <w:rsid w:val="4A5C70F1"/>
    <w:rsid w:val="4AB61A05"/>
    <w:rsid w:val="4AF26B9D"/>
    <w:rsid w:val="4BB65435"/>
    <w:rsid w:val="4BCE1489"/>
    <w:rsid w:val="4BEA1EE4"/>
    <w:rsid w:val="4BFB2D49"/>
    <w:rsid w:val="4C293566"/>
    <w:rsid w:val="4C723787"/>
    <w:rsid w:val="4CF05EAC"/>
    <w:rsid w:val="4D102CB4"/>
    <w:rsid w:val="4D8A74E7"/>
    <w:rsid w:val="4D9E609E"/>
    <w:rsid w:val="4E0243C8"/>
    <w:rsid w:val="4EA61F19"/>
    <w:rsid w:val="4EB053BD"/>
    <w:rsid w:val="4FBC6FAF"/>
    <w:rsid w:val="4FDC68F3"/>
    <w:rsid w:val="50005DA1"/>
    <w:rsid w:val="502A6272"/>
    <w:rsid w:val="5041435B"/>
    <w:rsid w:val="50564CCA"/>
    <w:rsid w:val="505A1CB0"/>
    <w:rsid w:val="509778C7"/>
    <w:rsid w:val="51773E2A"/>
    <w:rsid w:val="51C53170"/>
    <w:rsid w:val="5280421D"/>
    <w:rsid w:val="52BF27F0"/>
    <w:rsid w:val="52FC10E1"/>
    <w:rsid w:val="535E62F0"/>
    <w:rsid w:val="5361709F"/>
    <w:rsid w:val="53705401"/>
    <w:rsid w:val="53752E8D"/>
    <w:rsid w:val="53832E83"/>
    <w:rsid w:val="53C44BEA"/>
    <w:rsid w:val="53D45151"/>
    <w:rsid w:val="540D782C"/>
    <w:rsid w:val="542835DF"/>
    <w:rsid w:val="542F1421"/>
    <w:rsid w:val="544B51D2"/>
    <w:rsid w:val="544D013B"/>
    <w:rsid w:val="546C32BA"/>
    <w:rsid w:val="55352F87"/>
    <w:rsid w:val="5553143F"/>
    <w:rsid w:val="55B42DC5"/>
    <w:rsid w:val="56E81135"/>
    <w:rsid w:val="586B2608"/>
    <w:rsid w:val="58E20C36"/>
    <w:rsid w:val="592D7AE2"/>
    <w:rsid w:val="593554F0"/>
    <w:rsid w:val="59F13EF4"/>
    <w:rsid w:val="5A3078C5"/>
    <w:rsid w:val="5AAC4CA7"/>
    <w:rsid w:val="5ADF3A74"/>
    <w:rsid w:val="5AE53367"/>
    <w:rsid w:val="5B0B0083"/>
    <w:rsid w:val="5BC0364C"/>
    <w:rsid w:val="5BC3228B"/>
    <w:rsid w:val="5BD55EB2"/>
    <w:rsid w:val="5C3B1FEA"/>
    <w:rsid w:val="5C6A01BF"/>
    <w:rsid w:val="5D041ECD"/>
    <w:rsid w:val="5E2D4C21"/>
    <w:rsid w:val="5EE41E2E"/>
    <w:rsid w:val="5F0F00DA"/>
    <w:rsid w:val="60017F85"/>
    <w:rsid w:val="6045086B"/>
    <w:rsid w:val="60745B63"/>
    <w:rsid w:val="61051332"/>
    <w:rsid w:val="62302F88"/>
    <w:rsid w:val="62812953"/>
    <w:rsid w:val="62B7743E"/>
    <w:rsid w:val="64116858"/>
    <w:rsid w:val="648D5222"/>
    <w:rsid w:val="64B2258D"/>
    <w:rsid w:val="65997784"/>
    <w:rsid w:val="65C64C37"/>
    <w:rsid w:val="661E18B5"/>
    <w:rsid w:val="66AB371C"/>
    <w:rsid w:val="66AE1192"/>
    <w:rsid w:val="66C26880"/>
    <w:rsid w:val="66CA69C3"/>
    <w:rsid w:val="675C6C14"/>
    <w:rsid w:val="67DA4215"/>
    <w:rsid w:val="67E42DFA"/>
    <w:rsid w:val="680A09E1"/>
    <w:rsid w:val="6860443E"/>
    <w:rsid w:val="68EB3ADC"/>
    <w:rsid w:val="69462386"/>
    <w:rsid w:val="6A7016FE"/>
    <w:rsid w:val="6AFC6812"/>
    <w:rsid w:val="6B5E2EC6"/>
    <w:rsid w:val="6BCC068D"/>
    <w:rsid w:val="6C383447"/>
    <w:rsid w:val="6C42065A"/>
    <w:rsid w:val="6C6F44FD"/>
    <w:rsid w:val="6CD4731D"/>
    <w:rsid w:val="6D121910"/>
    <w:rsid w:val="6D3205F0"/>
    <w:rsid w:val="6DB702B4"/>
    <w:rsid w:val="6E504618"/>
    <w:rsid w:val="6EB20078"/>
    <w:rsid w:val="6F2317F8"/>
    <w:rsid w:val="6F5579D7"/>
    <w:rsid w:val="6F801AF8"/>
    <w:rsid w:val="6F8D5AAE"/>
    <w:rsid w:val="6FC663EC"/>
    <w:rsid w:val="6FFF59CB"/>
    <w:rsid w:val="70160759"/>
    <w:rsid w:val="70200B37"/>
    <w:rsid w:val="7037013D"/>
    <w:rsid w:val="704E4A67"/>
    <w:rsid w:val="70995673"/>
    <w:rsid w:val="70AA0AC2"/>
    <w:rsid w:val="70EA7511"/>
    <w:rsid w:val="71143E21"/>
    <w:rsid w:val="72867A39"/>
    <w:rsid w:val="72EE3608"/>
    <w:rsid w:val="7327462F"/>
    <w:rsid w:val="732F59FD"/>
    <w:rsid w:val="732F7900"/>
    <w:rsid w:val="734B5574"/>
    <w:rsid w:val="7355417D"/>
    <w:rsid w:val="736C3FBB"/>
    <w:rsid w:val="73A85DC8"/>
    <w:rsid w:val="73C32C41"/>
    <w:rsid w:val="74573DE9"/>
    <w:rsid w:val="749900DE"/>
    <w:rsid w:val="74D53B99"/>
    <w:rsid w:val="753A7704"/>
    <w:rsid w:val="754C1AAF"/>
    <w:rsid w:val="75FB1AE3"/>
    <w:rsid w:val="76991F3B"/>
    <w:rsid w:val="76D8737F"/>
    <w:rsid w:val="76E279D7"/>
    <w:rsid w:val="772E0626"/>
    <w:rsid w:val="7752184A"/>
    <w:rsid w:val="7754709D"/>
    <w:rsid w:val="776E285A"/>
    <w:rsid w:val="779E3171"/>
    <w:rsid w:val="77B02D8D"/>
    <w:rsid w:val="77C0093D"/>
    <w:rsid w:val="77C90B9C"/>
    <w:rsid w:val="77CE0D2D"/>
    <w:rsid w:val="78384CBC"/>
    <w:rsid w:val="784258BF"/>
    <w:rsid w:val="793758F2"/>
    <w:rsid w:val="79DC6C3F"/>
    <w:rsid w:val="79ED4DBE"/>
    <w:rsid w:val="7A250260"/>
    <w:rsid w:val="7A787ECB"/>
    <w:rsid w:val="7A8B51CB"/>
    <w:rsid w:val="7AA76B17"/>
    <w:rsid w:val="7AB507FA"/>
    <w:rsid w:val="7AC634CB"/>
    <w:rsid w:val="7C3A7105"/>
    <w:rsid w:val="7C41564D"/>
    <w:rsid w:val="7C8E16C9"/>
    <w:rsid w:val="7CB561C0"/>
    <w:rsid w:val="7CCC277F"/>
    <w:rsid w:val="7CE3033A"/>
    <w:rsid w:val="7D0A2590"/>
    <w:rsid w:val="7D54493D"/>
    <w:rsid w:val="7D550752"/>
    <w:rsid w:val="7D6A7A29"/>
    <w:rsid w:val="7DCC5A45"/>
    <w:rsid w:val="7E0D1698"/>
    <w:rsid w:val="7E8B6D0C"/>
    <w:rsid w:val="7F285EA4"/>
    <w:rsid w:val="7F787EDB"/>
    <w:rsid w:val="7FE93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3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2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subject"/>
    <w:basedOn w:val="7"/>
    <w:next w:val="7"/>
    <w:link w:val="58"/>
    <w:semiHidden/>
    <w:unhideWhenUsed/>
    <w:qFormat/>
    <w:uiPriority w:val="99"/>
    <w:rPr>
      <w:b/>
      <w:bCs/>
    </w:rPr>
  </w:style>
  <w:style w:type="paragraph" w:styleId="7">
    <w:name w:val="annotation text"/>
    <w:basedOn w:val="1"/>
    <w:link w:val="57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caption"/>
    <w:basedOn w:val="1"/>
    <w:next w:val="1"/>
    <w:link w:val="37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9">
    <w:name w:val="Body Text"/>
    <w:basedOn w:val="1"/>
    <w:link w:val="45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10">
    <w:name w:val="List 2"/>
    <w:basedOn w:val="11"/>
    <w:semiHidden/>
    <w:unhideWhenUsed/>
    <w:qFormat/>
    <w:uiPriority w:val="99"/>
    <w:pPr>
      <w:ind w:left="566" w:hanging="283"/>
      <w:contextualSpacing/>
    </w:pPr>
  </w:style>
  <w:style w:type="paragraph" w:styleId="11">
    <w:name w:val="List"/>
    <w:basedOn w:val="1"/>
    <w:qFormat/>
    <w:uiPriority w:val="0"/>
    <w:pPr>
      <w:ind w:left="568" w:hanging="284"/>
    </w:pPr>
  </w:style>
  <w:style w:type="paragraph" w:styleId="12">
    <w:name w:val="Balloon Text"/>
    <w:basedOn w:val="1"/>
    <w:link w:val="54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3">
    <w:name w:val="header"/>
    <w:basedOn w:val="1"/>
    <w:link w:val="52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4">
    <w:name w:val="toc 1"/>
    <w:basedOn w:val="1"/>
    <w:next w:val="1"/>
    <w:unhideWhenUsed/>
    <w:qFormat/>
    <w:uiPriority w:val="39"/>
    <w:pPr>
      <w:spacing w:after="100"/>
    </w:pPr>
  </w:style>
  <w:style w:type="paragraph" w:styleId="15">
    <w:name w:val="table of figures"/>
    <w:basedOn w:val="1"/>
    <w:next w:val="1"/>
    <w:unhideWhenUsed/>
    <w:qFormat/>
    <w:uiPriority w:val="99"/>
    <w:pPr>
      <w:spacing w:after="0"/>
    </w:pPr>
  </w:style>
  <w:style w:type="paragraph" w:styleId="16">
    <w:name w:val="toc 2"/>
    <w:basedOn w:val="1"/>
    <w:next w:val="1"/>
    <w:unhideWhenUsed/>
    <w:qFormat/>
    <w:uiPriority w:val="39"/>
    <w:pPr>
      <w:spacing w:after="100"/>
      <w:ind w:left="200"/>
    </w:pPr>
  </w:style>
  <w:style w:type="character" w:styleId="18">
    <w:name w:val="FollowedHyperlink"/>
    <w:basedOn w:val="17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9">
    <w:name w:val="Hyperlink"/>
    <w:basedOn w:val="1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0">
    <w:name w:val="annotation reference"/>
    <w:basedOn w:val="17"/>
    <w:semiHidden/>
    <w:unhideWhenUsed/>
    <w:qFormat/>
    <w:uiPriority w:val="99"/>
    <w:rPr>
      <w:sz w:val="16"/>
      <w:szCs w:val="16"/>
    </w:rPr>
  </w:style>
  <w:style w:type="table" w:styleId="22">
    <w:name w:val="Table Grid"/>
    <w:basedOn w:val="21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3">
    <w:name w:val="Heading 2 Char"/>
    <w:basedOn w:val="17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4">
    <w:name w:val="Heading 1 Char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5">
    <w:name w:val="List Paragraph"/>
    <w:basedOn w:val="1"/>
    <w:link w:val="32"/>
    <w:qFormat/>
    <w:uiPriority w:val="34"/>
    <w:pPr>
      <w:ind w:left="720"/>
      <w:contextualSpacing/>
    </w:pPr>
  </w:style>
  <w:style w:type="paragraph" w:customStyle="1" w:styleId="26">
    <w:name w:val="RAN4 H2"/>
    <w:basedOn w:val="3"/>
    <w:next w:val="1"/>
    <w:link w:val="28"/>
    <w:qFormat/>
    <w:uiPriority w:val="0"/>
    <w:rPr>
      <w:lang w:val="en-US"/>
    </w:rPr>
  </w:style>
  <w:style w:type="paragraph" w:customStyle="1" w:styleId="27">
    <w:name w:val="RAN4 H1"/>
    <w:basedOn w:val="1"/>
    <w:link w:val="3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8">
    <w:name w:val="RAN4 H2 Char"/>
    <w:basedOn w:val="23"/>
    <w:link w:val="26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29">
    <w:name w:val="RAN4 Observation"/>
    <w:basedOn w:val="25"/>
    <w:next w:val="1"/>
    <w:link w:val="33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0">
    <w:name w:val="RAN4 H1 Char"/>
    <w:basedOn w:val="17"/>
    <w:link w:val="27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1">
    <w:name w:val="RAN4 Proposal"/>
    <w:basedOn w:val="25"/>
    <w:next w:val="1"/>
    <w:link w:val="34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2">
    <w:name w:val="List Paragraph Char"/>
    <w:basedOn w:val="17"/>
    <w:link w:val="25"/>
    <w:qFormat/>
    <w:uiPriority w:val="34"/>
  </w:style>
  <w:style w:type="character" w:customStyle="1" w:styleId="33">
    <w:name w:val="RAN4 Observation Char"/>
    <w:basedOn w:val="32"/>
    <w:link w:val="2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4">
    <w:name w:val="RAN4 Proposal Char"/>
    <w:basedOn w:val="32"/>
    <w:link w:val="31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5">
    <w:name w:val="RAN4 proposal"/>
    <w:basedOn w:val="8"/>
    <w:next w:val="1"/>
    <w:link w:val="38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6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7">
    <w:name w:val="Caption Char"/>
    <w:basedOn w:val="17"/>
    <w:link w:val="8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8">
    <w:name w:val="RAN4 proposal Char"/>
    <w:basedOn w:val="37"/>
    <w:link w:val="35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39">
    <w:name w:val="RAN4 observation"/>
    <w:basedOn w:val="29"/>
    <w:next w:val="1"/>
    <w:link w:val="40"/>
    <w:qFormat/>
    <w:uiPriority w:val="0"/>
    <w:pPr>
      <w:ind w:left="0" w:firstLine="0"/>
    </w:pPr>
    <w:rPr>
      <w:sz w:val="22"/>
    </w:rPr>
  </w:style>
  <w:style w:type="character" w:customStyle="1" w:styleId="40">
    <w:name w:val="RAN4 observation Char"/>
    <w:basedOn w:val="33"/>
    <w:link w:val="3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1">
    <w:name w:val="Unresolved Mention"/>
    <w:basedOn w:val="17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2">
    <w:name w:val="Heading 4 Char"/>
    <w:basedOn w:val="17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3">
    <w:name w:val="Doc-text2 Char"/>
    <w:link w:val="44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4">
    <w:name w:val="Doc-text2"/>
    <w:basedOn w:val="1"/>
    <w:link w:val="43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5">
    <w:name w:val="Body Text Char"/>
    <w:basedOn w:val="17"/>
    <w:link w:val="9"/>
    <w:semiHidden/>
    <w:qFormat/>
    <w:uiPriority w:val="0"/>
    <w:rPr>
      <w:rFonts w:ascii="Arial" w:hAnsi="Arial"/>
      <w:lang w:val="da-DK" w:eastAsia="zh-CN"/>
    </w:rPr>
  </w:style>
  <w:style w:type="paragraph" w:customStyle="1" w:styleId="46">
    <w:name w:val="Agreement"/>
    <w:basedOn w:val="1"/>
    <w:next w:val="44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7">
    <w:name w:val="TAL"/>
    <w:basedOn w:val="1"/>
    <w:link w:val="48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8">
    <w:name w:val="TAL Char"/>
    <w:link w:val="47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49">
    <w:name w:val="B2"/>
    <w:basedOn w:val="10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0">
    <w:name w:val="EmailDiscussion"/>
    <w:basedOn w:val="1"/>
    <w:next w:val="1"/>
    <w:link w:val="51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1">
    <w:name w:val="EmailDiscussion Char"/>
    <w:link w:val="50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2">
    <w:name w:val="Header Char"/>
    <w:basedOn w:val="17"/>
    <w:link w:val="13"/>
    <w:semiHidden/>
    <w:qFormat/>
    <w:locked/>
    <w:uiPriority w:val="0"/>
    <w:rPr>
      <w:rFonts w:ascii="Tms Rmn" w:hAnsi="Tms Rmn"/>
      <w:b/>
      <w:sz w:val="18"/>
    </w:rPr>
  </w:style>
  <w:style w:type="character" w:customStyle="1" w:styleId="53">
    <w:name w:val="Header Char1"/>
    <w:basedOn w:val="17"/>
    <w:semiHidden/>
    <w:qFormat/>
    <w:uiPriority w:val="99"/>
    <w:rPr>
      <w:rFonts w:ascii="Times New Roman" w:hAnsi="Times New Roman"/>
      <w:sz w:val="20"/>
    </w:rPr>
  </w:style>
  <w:style w:type="character" w:customStyle="1" w:styleId="54">
    <w:name w:val="Balloon Text Char"/>
    <w:basedOn w:val="17"/>
    <w:link w:val="12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5">
    <w:name w:val="CR Cover Page Zchn"/>
    <w:link w:val="56"/>
    <w:qFormat/>
    <w:locked/>
    <w:uiPriority w:val="0"/>
    <w:rPr>
      <w:rFonts w:ascii="Arial" w:hAnsi="Arial" w:cs="Arial"/>
      <w:lang w:val="en-GB"/>
    </w:rPr>
  </w:style>
  <w:style w:type="paragraph" w:customStyle="1" w:styleId="56">
    <w:name w:val="CR Cover Page"/>
    <w:link w:val="55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7">
    <w:name w:val="Comment Text Char"/>
    <w:basedOn w:val="17"/>
    <w:link w:val="7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8">
    <w:name w:val="Comment Subject Char"/>
    <w:basedOn w:val="57"/>
    <w:link w:val="6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59">
    <w:name w:val="3GPP Normal Text"/>
    <w:basedOn w:val="9"/>
    <w:link w:val="60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0">
    <w:name w:val="3GPP Normal Text Char"/>
    <w:link w:val="59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1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5">
    <w:name w:val="B1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7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DA32A5-C37F-4DB0-94C0-5301A1F35695}">
  <ds:schemaRefs/>
</ds:datastoreItem>
</file>

<file path=customXml/itemProps3.xml><?xml version="1.0" encoding="utf-8"?>
<ds:datastoreItem xmlns:ds="http://schemas.openxmlformats.org/officeDocument/2006/customXml" ds:itemID="{EAA4E9F1-3478-4E48-ACB7-A0EA7CF8F594}">
  <ds:schemaRefs/>
</ds:datastoreItem>
</file>

<file path=customXml/itemProps4.xml><?xml version="1.0" encoding="utf-8"?>
<ds:datastoreItem xmlns:ds="http://schemas.openxmlformats.org/officeDocument/2006/customXml" ds:itemID="{DDD117E1-8C1C-466A-8D7F-EAF64C1488C0}">
  <ds:schemaRefs/>
</ds:datastoreItem>
</file>

<file path=customXml/itemProps5.xml><?xml version="1.0" encoding="utf-8"?>
<ds:datastoreItem xmlns:ds="http://schemas.openxmlformats.org/officeDocument/2006/customXml" ds:itemID="{E8E32C24-5F96-4713-A70F-A7BA20BB6CD6}">
  <ds:schemaRefs/>
</ds:datastoreItem>
</file>

<file path=customXml/itemProps6.xml><?xml version="1.0" encoding="utf-8"?>
<ds:datastoreItem xmlns:ds="http://schemas.openxmlformats.org/officeDocument/2006/customXml" ds:itemID="{E173285D-2887-45E3-A024-3D1E71CC8E74}">
  <ds:schemaRefs/>
</ds:datastoreItem>
</file>

<file path=customXml/itemProps7.xml><?xml version="1.0" encoding="utf-8"?>
<ds:datastoreItem xmlns:ds="http://schemas.openxmlformats.org/officeDocument/2006/customXml" ds:itemID="{9B5B53C8-48A5-44AD-B897-E90CB0B8E3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877</Words>
  <Characters>5355</Characters>
  <Lines>44</Lines>
  <Paragraphs>12</Paragraphs>
  <TotalTime>0</TotalTime>
  <ScaleCrop>false</ScaleCrop>
  <LinksUpToDate>false</LinksUpToDate>
  <CharactersWithSpaces>6220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Richie Leo (ZTE)</cp:lastModifiedBy>
  <cp:lastPrinted>2019-04-29T06:52:00Z</cp:lastPrinted>
  <dcterms:modified xsi:type="dcterms:W3CDTF">2020-02-10T10:18:59Z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2052-10.8.2.7027</vt:lpwstr>
  </property>
</Properties>
</file>